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301410</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L1-RSRP measurement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9.8.3.2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L1-RSRP measurement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b/>
                <w:bCs/>
                <w:lang w:val="en-US" w:eastAsia="ja-JP"/>
              </w:rPr>
            </w:pPr>
            <w:r>
              <w:rPr>
                <w:rFonts w:hint="eastAsia"/>
                <w:b/>
                <w:bCs/>
                <w:lang w:val="en-US" w:eastAsia="ja-JP"/>
              </w:rPr>
              <w:t>O</w:t>
            </w:r>
            <w:r>
              <w:rPr>
                <w:b/>
                <w:bCs/>
                <w:lang w:val="en-US" w:eastAsia="ja-JP"/>
              </w:rPr>
              <w:t>verall handling of L1 measurements</w:t>
            </w:r>
          </w:p>
          <w:p>
            <w:pPr>
              <w:rPr>
                <w:rFonts w:eastAsia="游明朝"/>
                <w:lang w:val="en-US" w:eastAsia="ja-JP"/>
              </w:rPr>
            </w:pPr>
            <w:r>
              <w:rPr>
                <w:rFonts w:hint="eastAsia" w:eastAsia="游明朝"/>
                <w:highlight w:val="green"/>
                <w:lang w:val="en-US" w:eastAsia="ja-JP"/>
              </w:rPr>
              <w:t>A</w:t>
            </w:r>
            <w:r>
              <w:rPr>
                <w:rFonts w:eastAsia="游明朝"/>
                <w:highlight w:val="green"/>
                <w:lang w:val="en-US" w:eastAsia="ja-JP"/>
              </w:rPr>
              <w:t>greement</w:t>
            </w:r>
            <w:r>
              <w:rPr>
                <w:rFonts w:eastAsia="游明朝"/>
                <w:lang w:val="en-US" w:eastAsia="ja-JP"/>
              </w:rPr>
              <w:t xml:space="preserve">: </w:t>
            </w:r>
          </w:p>
          <w:p>
            <w:pPr>
              <w:rPr>
                <w:rFonts w:hint="default" w:ascii="Times New Roman" w:hAnsi="Times New Roman" w:eastAsia="Times New Roman" w:cs="Times New Roman"/>
                <w:bCs/>
                <w:kern w:val="0"/>
                <w:sz w:val="20"/>
                <w:szCs w:val="24"/>
                <w:lang w:val="en-US" w:eastAsia="zh-CN" w:bidi="ar-SA"/>
              </w:rPr>
            </w:pPr>
            <w:r>
              <w:rPr>
                <w:rFonts w:eastAsia="游明朝"/>
                <w:lang w:val="en-US" w:eastAsia="ja-JP"/>
              </w:rPr>
              <w:t>Discussion on Rx beam sweeping scaling factor, simultaneous reception of DL data and RS, and other multi-Rx related topics can be done jointly for L1-RSRP, RLM, L1-SINR and CBD/BFD.</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L1-RSRP measurement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L1 measurement enhancement under multi-panel Rx, it has been approved that there is not any room to reduce the sample number in 104bis meeting. So we can explore from the following aspects:</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The relation with the group based report</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The reduction of scaling factor for Rx beam sweeping</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Scheduling restriction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Measurement restriction</w:t>
      </w:r>
    </w:p>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rFonts w:hint="eastAsia" w:eastAsia="宋体"/>
          <w:color w:val="auto"/>
          <w:sz w:val="20"/>
          <w:szCs w:val="20"/>
          <w:lang w:val="en-US" w:eastAsia="zh-CN"/>
        </w:rPr>
        <w:t>The last two aspects would be discussed in another document from us. So we would discuss the first three aspects.</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Group based report</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The group based report was supported by RAN1 from R15. Further more, in R16 and R17, some further enhancements were introduced. The details in [3] are shown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default" w:ascii="New York" w:hAnsi="New York" w:eastAsia="宋体"/>
                <w:color w:val="000000"/>
                <w:lang w:val="en-US" w:eastAsia="zh-CN"/>
              </w:rPr>
            </w:pPr>
            <w:r>
              <w:rPr>
                <w:rFonts w:ascii="New York" w:hAnsi="New York" w:eastAsia="MS Mincho"/>
                <w:color w:val="000000"/>
                <w:lang w:eastAsia="en-GB"/>
              </w:rPr>
              <w:t xml:space="preserve">If the UE is configured with a </w:t>
            </w:r>
            <w:r>
              <w:rPr>
                <w:rFonts w:ascii="New York" w:hAnsi="New York" w:eastAsia="MS Mincho"/>
                <w:i/>
                <w:color w:val="000000"/>
                <w:lang w:eastAsia="en-GB"/>
              </w:rPr>
              <w:t>CSI-ReportConfig</w:t>
            </w:r>
            <w:r>
              <w:rPr>
                <w:rFonts w:ascii="New York" w:hAnsi="New York" w:eastAsia="MS Mincho"/>
                <w:color w:val="000000"/>
                <w:lang w:eastAsia="en-GB"/>
              </w:rPr>
              <w:t xml:space="preserve"> </w:t>
            </w:r>
            <w:r>
              <w:rPr>
                <w:rFonts w:ascii="New York" w:hAnsi="New York"/>
                <w:color w:val="000000"/>
                <w:lang w:val="en-US" w:eastAsia="en-GB"/>
              </w:rPr>
              <w:t xml:space="preserve">with the higher layer parameter </w:t>
            </w:r>
            <w:r>
              <w:rPr>
                <w:rFonts w:ascii="New York" w:hAnsi="New York"/>
                <w:i/>
                <w:iCs/>
                <w:color w:val="000000"/>
                <w:lang w:val="en-US" w:eastAsia="en-GB"/>
              </w:rPr>
              <w:t xml:space="preserve">reportQuantity </w:t>
            </w:r>
            <w:r>
              <w:rPr>
                <w:rFonts w:ascii="New York" w:hAnsi="New York"/>
                <w:iCs/>
                <w:color w:val="000000"/>
                <w:lang w:val="en-US" w:eastAsia="en-GB"/>
              </w:rPr>
              <w:t>set to 'cri-RSRP', 'ssb-Index-RSRP'</w:t>
            </w:r>
            <w:r>
              <w:rPr>
                <w:rFonts w:ascii="New York" w:hAnsi="New York"/>
                <w:color w:val="000000"/>
                <w:lang w:eastAsia="zh-CN"/>
              </w:rPr>
              <w:t xml:space="preserve">, </w:t>
            </w:r>
            <w:r>
              <w:rPr>
                <w:rFonts w:ascii="New York" w:hAnsi="New York"/>
                <w:iCs/>
                <w:lang w:eastAsia="en-GB"/>
              </w:rPr>
              <w:t>'cri-RSRP-Capability[Set]Index' or 'ssb-Index-RSRP-Capability[Set]Index'</w:t>
            </w:r>
            <w:r>
              <w:rPr>
                <w:rFonts w:ascii="New York" w:hAnsi="New York"/>
                <w:iCs/>
                <w:color w:val="000000"/>
                <w:lang w:val="en-US" w:eastAsia="en-GB"/>
              </w:rPr>
              <w:t>,</w:t>
            </w:r>
            <w:r>
              <w:rPr>
                <w:rFonts w:hint="eastAsia" w:ascii="New York" w:hAnsi="New York"/>
                <w:iCs/>
                <w:color w:val="000000"/>
                <w:lang w:val="en-US" w:eastAsia="zh-CN"/>
              </w:rPr>
              <w:t xml:space="preserve"> </w:t>
            </w:r>
          </w:p>
          <w:p>
            <w:pPr>
              <w:pStyle w:val="29"/>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default" w:ascii="New York" w:hAnsi="New York" w:eastAsia="宋体"/>
                <w:highlight w:val="none"/>
                <w:lang w:val="en-US" w:eastAsia="zh-CN"/>
              </w:rPr>
            </w:pPr>
            <w:r>
              <w:rPr>
                <w:rFonts w:ascii="New York" w:hAnsi="New York"/>
                <w:lang w:val="en-US" w:eastAsia="en-GB"/>
              </w:rPr>
              <w:t>-</w:t>
            </w:r>
            <w:r>
              <w:rPr>
                <w:rFonts w:ascii="New York" w:hAnsi="New York"/>
                <w:lang w:val="en-US" w:eastAsia="en-GB"/>
              </w:rPr>
              <w:tab/>
            </w:r>
            <w:r>
              <w:rPr>
                <w:rFonts w:ascii="New York" w:hAnsi="New York"/>
                <w:lang w:val="en-US" w:eastAsia="en-GB"/>
              </w:rPr>
              <w:t xml:space="preserve">if the UE is configured with the higher layer parameter </w:t>
            </w:r>
            <w:r>
              <w:rPr>
                <w:rFonts w:ascii="New York" w:hAnsi="New York"/>
                <w:i/>
                <w:lang w:val="en-US" w:eastAsia="en-GB"/>
              </w:rPr>
              <w:t xml:space="preserve">groupBasedBeamReporting </w:t>
            </w:r>
            <w:r>
              <w:rPr>
                <w:rFonts w:ascii="New York" w:hAnsi="New York"/>
                <w:lang w:val="en-US" w:eastAsia="en-GB"/>
              </w:rPr>
              <w:t>set to 'disabled', the UE is not required to update measurements for more than 64 CSI-RS and/or SSB resources, and the UE</w:t>
            </w:r>
            <w:r>
              <w:rPr>
                <w:rFonts w:ascii="New York" w:hAnsi="New York"/>
                <w:lang w:eastAsia="en-GB"/>
              </w:rPr>
              <w:t xml:space="preserve"> </w:t>
            </w:r>
            <w:r>
              <w:rPr>
                <w:rFonts w:ascii="New York" w:hAnsi="New York"/>
                <w:lang w:val="en-US" w:eastAsia="en-GB"/>
              </w:rPr>
              <w:t>shall r</w:t>
            </w:r>
            <w:r>
              <w:rPr>
                <w:rFonts w:ascii="New York" w:hAnsi="New York"/>
                <w:highlight w:val="none"/>
                <w:lang w:val="en-US" w:eastAsia="en-GB"/>
              </w:rPr>
              <w:t xml:space="preserve">eport in a single report </w:t>
            </w:r>
            <w:r>
              <w:rPr>
                <w:rFonts w:ascii="New York" w:hAnsi="New York"/>
                <w:i/>
                <w:highlight w:val="none"/>
                <w:lang w:val="en-US" w:eastAsia="en-GB"/>
              </w:rPr>
              <w:t>nrofReportedRS</w:t>
            </w:r>
            <w:r>
              <w:rPr>
                <w:rFonts w:ascii="New York" w:hAnsi="New York"/>
                <w:highlight w:val="none"/>
                <w:lang w:val="en-US" w:eastAsia="en-GB"/>
              </w:rPr>
              <w:t xml:space="preserve"> (higher layer configured) different CRI or SSBRI for each report setting.</w:t>
            </w:r>
            <w:r>
              <w:rPr>
                <w:rFonts w:hint="eastAsia" w:ascii="Times New Roman" w:hAnsi="Times New Roman" w:eastAsia="宋体" w:cs="Times New Roman"/>
                <w:color w:val="0000FF"/>
                <w:kern w:val="2"/>
                <w:sz w:val="20"/>
                <w:szCs w:val="20"/>
                <w:highlight w:val="none"/>
                <w:lang w:val="en-US" w:eastAsia="en-GB" w:bidi="ar-SA"/>
              </w:rPr>
              <w:t xml:space="preserve"> </w:t>
            </w:r>
          </w:p>
          <w:p>
            <w:pPr>
              <w:pStyle w:val="29"/>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default" w:ascii="New York" w:hAnsi="New York" w:eastAsia="宋体"/>
                <w:highlight w:val="none"/>
                <w:lang w:val="en-US" w:eastAsia="zh-CN"/>
              </w:rPr>
            </w:pPr>
            <w:r>
              <w:rPr>
                <w:rFonts w:ascii="New York" w:hAnsi="New York"/>
                <w:highlight w:val="none"/>
                <w:lang w:val="en-US" w:eastAsia="en-GB"/>
              </w:rPr>
              <w:t>-</w:t>
            </w:r>
            <w:r>
              <w:rPr>
                <w:rFonts w:ascii="New York" w:hAnsi="New York"/>
                <w:highlight w:val="none"/>
                <w:lang w:val="en-US" w:eastAsia="en-GB"/>
              </w:rPr>
              <w:tab/>
            </w:r>
            <w:r>
              <w:rPr>
                <w:rFonts w:ascii="New York" w:hAnsi="New York"/>
                <w:highlight w:val="none"/>
                <w:lang w:val="en-US" w:eastAsia="en-GB"/>
              </w:rPr>
              <w:t xml:space="preserve">if the UE is configured with the higher layer parameter </w:t>
            </w:r>
            <w:r>
              <w:rPr>
                <w:rFonts w:ascii="New York" w:hAnsi="New York"/>
                <w:i/>
                <w:highlight w:val="none"/>
                <w:lang w:val="en-US" w:eastAsia="en-GB"/>
              </w:rPr>
              <w:t xml:space="preserve">groupBasedBeamReporting </w:t>
            </w:r>
            <w:r>
              <w:rPr>
                <w:rFonts w:ascii="New York" w:hAnsi="New York"/>
                <w:highlight w:val="none"/>
                <w:lang w:val="en-US" w:eastAsia="en-GB"/>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ascii="New York" w:hAnsi="New York" w:eastAsia="MS Mincho"/>
                <w:highlight w:val="none"/>
                <w:lang w:eastAsia="en-GB"/>
              </w:rPr>
              <w:t>spatial domain receive filter</w:t>
            </w:r>
            <w:r>
              <w:rPr>
                <w:rFonts w:ascii="New York" w:hAnsi="New York"/>
                <w:highlight w:val="none"/>
                <w:lang w:val="en-US" w:eastAsia="en-GB"/>
              </w:rPr>
              <w:t xml:space="preserve">, or with multiple simultaneous </w:t>
            </w:r>
            <w:r>
              <w:rPr>
                <w:rFonts w:ascii="New York" w:hAnsi="New York" w:eastAsia="MS Mincho"/>
                <w:highlight w:val="none"/>
                <w:lang w:eastAsia="en-GB"/>
              </w:rPr>
              <w:t>spatial domain receive filters</w:t>
            </w:r>
            <w:r>
              <w:rPr>
                <w:rFonts w:ascii="New York" w:hAnsi="New York"/>
                <w:highlight w:val="none"/>
                <w:lang w:val="en-US" w:eastAsia="en-GB"/>
              </w:rPr>
              <w:t xml:space="preserve">. </w:t>
            </w:r>
          </w:p>
          <w:p>
            <w:pPr>
              <w:pStyle w:val="29"/>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default" w:ascii="New York" w:hAnsi="New York" w:eastAsia="宋体"/>
                <w:lang w:val="en-US" w:eastAsia="zh-CN"/>
              </w:rPr>
            </w:pPr>
            <w:r>
              <w:rPr>
                <w:rFonts w:ascii="New York" w:hAnsi="New York"/>
                <w:highlight w:val="none"/>
                <w:lang w:val="en-US" w:eastAsia="en-GB"/>
              </w:rPr>
              <w:t>-</w:t>
            </w:r>
            <w:r>
              <w:rPr>
                <w:rFonts w:ascii="New York" w:hAnsi="New York"/>
                <w:highlight w:val="none"/>
                <w:lang w:val="en-US" w:eastAsia="en-GB"/>
              </w:rPr>
              <w:tab/>
            </w:r>
            <w:r>
              <w:rPr>
                <w:rFonts w:ascii="New York" w:hAnsi="New York"/>
                <w:highlight w:val="none"/>
                <w:lang w:val="en-US" w:eastAsia="en-GB"/>
              </w:rPr>
              <w:t xml:space="preserve">if the UE is configured with the higher layer parameter </w:t>
            </w:r>
            <w:r>
              <w:rPr>
                <w:rFonts w:ascii="New York" w:hAnsi="New York"/>
                <w:i/>
                <w:iCs/>
                <w:color w:val="000000"/>
                <w:highlight w:val="none"/>
                <w:lang w:val="en-US" w:eastAsia="en-GB"/>
              </w:rPr>
              <w:t>groupBasedBeamReporting-r17</w:t>
            </w:r>
            <w:r>
              <w:rPr>
                <w:rFonts w:ascii="New York" w:hAnsi="New York"/>
                <w:color w:val="000000"/>
                <w:highlight w:val="none"/>
                <w:lang w:val="en-US" w:eastAsia="en-GB"/>
              </w:rPr>
              <w:t>, t</w:t>
            </w:r>
            <w:r>
              <w:rPr>
                <w:rFonts w:ascii="New York" w:hAnsi="New York"/>
                <w:highlight w:val="none"/>
                <w:lang w:val="en-US" w:eastAsia="en-GB"/>
              </w:rPr>
              <w:t xml:space="preserve">he UE is not required to update measurements for more than 64 CSI-RS and/or SSB resources, and the UE shall report in a single reporting instance </w:t>
            </w:r>
            <w:r>
              <w:rPr>
                <w:rFonts w:ascii="New York" w:hAnsi="New York"/>
                <w:i/>
                <w:iCs/>
                <w:highlight w:val="none"/>
                <w:lang w:val="en-US" w:eastAsia="en-GB"/>
              </w:rPr>
              <w:t>nrofReportedRSgroup</w:t>
            </w:r>
            <w:r>
              <w:rPr>
                <w:rFonts w:ascii="New York" w:hAnsi="New York"/>
                <w:i/>
                <w:iCs/>
                <w:highlight w:val="none"/>
                <w:lang w:eastAsia="en-GB"/>
              </w:rPr>
              <w:t>,</w:t>
            </w:r>
            <w:r>
              <w:rPr>
                <w:rFonts w:ascii="New York" w:hAnsi="New York"/>
                <w:highlight w:val="none"/>
                <w:lang w:val="en-US" w:eastAsia="en-GB"/>
              </w:rPr>
              <w:t xml:space="preserve"> if configured</w:t>
            </w:r>
            <w:r>
              <w:rPr>
                <w:rFonts w:ascii="New York" w:hAnsi="New York"/>
                <w:highlight w:val="none"/>
                <w:lang w:eastAsia="en-GB"/>
              </w:rPr>
              <w:t>,</w:t>
            </w:r>
            <w:r>
              <w:rPr>
                <w:rFonts w:ascii="New York" w:hAnsi="New York"/>
                <w:highlight w:val="none"/>
                <w:lang w:val="en-US" w:eastAsia="en-GB"/>
              </w:rPr>
              <w:t xml:space="preserve"> group(s) of two CRIs or SSBRIs selecting one </w:t>
            </w:r>
            <w:r>
              <w:rPr>
                <w:rFonts w:ascii="New York" w:hAnsi="New York"/>
                <w:highlight w:val="none"/>
                <w:lang w:eastAsia="en-GB"/>
              </w:rPr>
              <w:t xml:space="preserve">CSI-RS or SSB </w:t>
            </w:r>
            <w:r>
              <w:rPr>
                <w:rFonts w:ascii="New York" w:hAnsi="New York"/>
                <w:highlight w:val="none"/>
                <w:lang w:val="en-US" w:eastAsia="en-GB"/>
              </w:rPr>
              <w:t xml:space="preserve">from </w:t>
            </w:r>
            <w:r>
              <w:rPr>
                <w:rFonts w:ascii="New York" w:hAnsi="New York"/>
                <w:highlight w:val="none"/>
                <w:lang w:eastAsia="en-GB"/>
              </w:rPr>
              <w:t xml:space="preserve">each of </w:t>
            </w:r>
            <w:r>
              <w:rPr>
                <w:rFonts w:ascii="New York" w:hAnsi="New York"/>
                <w:highlight w:val="none"/>
                <w:lang w:val="en-US" w:eastAsia="en-GB"/>
              </w:rPr>
              <w:t>the two CSI</w:t>
            </w:r>
            <w:r>
              <w:rPr>
                <w:rFonts w:ascii="New York" w:hAnsi="New York"/>
                <w:highlight w:val="none"/>
                <w:lang w:eastAsia="en-GB"/>
              </w:rPr>
              <w:t xml:space="preserve"> Resource</w:t>
            </w:r>
            <w:r>
              <w:rPr>
                <w:rFonts w:ascii="New York" w:hAnsi="New York"/>
                <w:highlight w:val="none"/>
                <w:lang w:val="en-US" w:eastAsia="en-GB"/>
              </w:rPr>
              <w:t xml:space="preserve"> Sets for </w:t>
            </w:r>
            <w:r>
              <w:rPr>
                <w:rFonts w:ascii="New York" w:hAnsi="New York"/>
                <w:highlight w:val="none"/>
                <w:lang w:eastAsia="en-GB"/>
              </w:rPr>
              <w:t>the</w:t>
            </w:r>
            <w:r>
              <w:rPr>
                <w:rFonts w:ascii="New York" w:hAnsi="New York"/>
                <w:highlight w:val="none"/>
                <w:lang w:val="en-US" w:eastAsia="en-GB"/>
              </w:rPr>
              <w:t xml:space="preserve"> report setting, where CSI-RS and/or SSB resources of each group can be received simultaneously by the UE</w:t>
            </w:r>
            <w:r>
              <w:rPr>
                <w:rFonts w:ascii="New York" w:hAnsi="New York"/>
                <w:lang w:val="en-US" w:eastAsia="en-GB"/>
              </w:rPr>
              <w:t>.</w:t>
            </w:r>
            <w:r>
              <w:rPr>
                <w:rFonts w:hint="eastAsia" w:ascii="New York" w:hAnsi="New York"/>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ascii="New York" w:hAnsi="New York"/>
                <w:iCs/>
                <w:color w:val="000000"/>
                <w:lang w:val="en-US" w:eastAsia="en-GB"/>
              </w:rPr>
            </w:pPr>
            <w:r>
              <w:rPr>
                <w:rFonts w:ascii="New York" w:hAnsi="New York" w:eastAsia="MS Mincho"/>
                <w:color w:val="000000"/>
                <w:lang w:eastAsia="en-GB"/>
              </w:rPr>
              <w:t xml:space="preserve">If the UE is configured with a </w:t>
            </w:r>
            <w:r>
              <w:rPr>
                <w:rFonts w:ascii="New York" w:hAnsi="New York" w:eastAsia="MS Mincho"/>
                <w:i/>
                <w:color w:val="000000"/>
                <w:lang w:eastAsia="en-GB"/>
              </w:rPr>
              <w:t>CSI-ReportConfig</w:t>
            </w:r>
            <w:r>
              <w:rPr>
                <w:rFonts w:ascii="New York" w:hAnsi="New York" w:eastAsia="MS Mincho"/>
                <w:color w:val="000000"/>
                <w:lang w:eastAsia="en-GB"/>
              </w:rPr>
              <w:t xml:space="preserve"> </w:t>
            </w:r>
            <w:r>
              <w:rPr>
                <w:rFonts w:ascii="New York" w:hAnsi="New York"/>
                <w:color w:val="000000"/>
                <w:lang w:val="en-US" w:eastAsia="en-GB"/>
              </w:rPr>
              <w:t xml:space="preserve">with the higher layer parameter </w:t>
            </w:r>
            <w:r>
              <w:rPr>
                <w:rFonts w:ascii="New York" w:hAnsi="New York"/>
                <w:i/>
                <w:iCs/>
                <w:color w:val="000000"/>
                <w:lang w:val="en-US" w:eastAsia="en-GB"/>
              </w:rPr>
              <w:t xml:space="preserve">reportQuantity </w:t>
            </w:r>
            <w:r>
              <w:rPr>
                <w:rFonts w:ascii="New York" w:hAnsi="New York"/>
                <w:iCs/>
                <w:color w:val="000000"/>
                <w:lang w:val="en-US" w:eastAsia="en-GB"/>
              </w:rPr>
              <w:t>set to 'cri-SINR', 'ssb-Index-SINR'</w:t>
            </w:r>
            <w:r>
              <w:rPr>
                <w:rFonts w:ascii="New York" w:hAnsi="New York"/>
                <w:color w:val="000000"/>
                <w:lang w:eastAsia="zh-CN"/>
              </w:rPr>
              <w:t xml:space="preserve">, </w:t>
            </w:r>
            <w:r>
              <w:rPr>
                <w:rFonts w:ascii="New York" w:hAnsi="New York"/>
                <w:iCs/>
                <w:lang w:eastAsia="en-GB"/>
              </w:rPr>
              <w:t>'cri-SINR-Capability[Set]Index' or 'ssb-Index-SINR-Capability[Set]Index'</w:t>
            </w:r>
            <w:r>
              <w:rPr>
                <w:rFonts w:ascii="New York" w:hAnsi="New York"/>
                <w:iCs/>
                <w:color w:val="000000"/>
                <w:lang w:val="en-US" w:eastAsia="en-GB"/>
              </w:rPr>
              <w:t xml:space="preserve">, </w:t>
            </w:r>
          </w:p>
          <w:p>
            <w:pPr>
              <w:pStyle w:val="29"/>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ascii="New York" w:hAnsi="New York"/>
                <w:lang w:val="en-US" w:eastAsia="zh-CN"/>
              </w:rPr>
            </w:pPr>
            <w:r>
              <w:rPr>
                <w:rFonts w:ascii="New York" w:hAnsi="New York"/>
                <w:lang w:eastAsia="en-GB"/>
              </w:rPr>
              <w:t>-</w:t>
            </w:r>
            <w:r>
              <w:rPr>
                <w:rFonts w:ascii="New York" w:hAnsi="New York"/>
                <w:lang w:eastAsia="en-GB"/>
              </w:rPr>
              <w:tab/>
            </w:r>
            <w:r>
              <w:rPr>
                <w:rFonts w:ascii="New York" w:hAnsi="New York"/>
                <w:lang w:eastAsia="en-GB"/>
              </w:rPr>
              <w:t xml:space="preserve">if the UE is configured with the higher layer parameter </w:t>
            </w:r>
            <w:r>
              <w:rPr>
                <w:rFonts w:ascii="New York" w:hAnsi="New York"/>
                <w:i/>
                <w:lang w:eastAsia="en-GB"/>
              </w:rPr>
              <w:t xml:space="preserve">groupBasedBeamReporting </w:t>
            </w:r>
            <w:r>
              <w:rPr>
                <w:rFonts w:ascii="New York" w:hAnsi="New York"/>
                <w:lang w:eastAsia="en-GB"/>
              </w:rPr>
              <w:t xml:space="preserve">set to 'disabled', </w:t>
            </w:r>
            <w:r>
              <w:rPr>
                <w:rFonts w:ascii="New York" w:hAnsi="New York"/>
                <w:iCs/>
                <w:color w:val="000000"/>
                <w:lang w:eastAsia="en-GB"/>
              </w:rPr>
              <w:t>the UE shall report in a single report</w:t>
            </w:r>
            <w:r>
              <w:rPr>
                <w:rFonts w:ascii="New York" w:hAnsi="New York"/>
                <w:lang w:eastAsia="en-GB"/>
              </w:rPr>
              <w:t xml:space="preserve"> </w:t>
            </w:r>
            <w:r>
              <w:rPr>
                <w:rFonts w:ascii="New York" w:hAnsi="New York"/>
                <w:i/>
                <w:iCs/>
                <w:color w:val="000000"/>
                <w:lang w:eastAsia="en-GB"/>
              </w:rPr>
              <w:t>nrofReportedRS</w:t>
            </w:r>
            <w:r>
              <w:rPr>
                <w:rFonts w:ascii="New York" w:hAnsi="New York"/>
                <w:iCs/>
                <w:color w:val="000000"/>
                <w:lang w:eastAsia="en-GB"/>
              </w:rPr>
              <w:t xml:space="preserve"> </w:t>
            </w:r>
            <w:r>
              <w:rPr>
                <w:rFonts w:ascii="New York" w:hAnsi="New York"/>
                <w:lang w:eastAsia="en-GB"/>
              </w:rPr>
              <w:t>(higher layer configured) different CRI or SSBRI for each report setting.</w:t>
            </w:r>
            <w:r>
              <w:rPr>
                <w:rFonts w:hint="eastAsia" w:ascii="New York" w:hAnsi="New York"/>
                <w:lang w:val="en-US" w:eastAsia="zh-CN"/>
              </w:rPr>
              <w:t xml:space="preserve"> </w:t>
            </w:r>
            <w:bookmarkStart w:id="0" w:name="_Hlk23665484"/>
          </w:p>
          <w:p>
            <w:pPr>
              <w:pStyle w:val="29"/>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default" w:eastAsia="宋体"/>
                <w:color w:val="auto"/>
                <w:sz w:val="20"/>
                <w:szCs w:val="20"/>
                <w:vertAlign w:val="baseline"/>
                <w:lang w:val="en-US" w:eastAsia="zh-CN"/>
              </w:rPr>
            </w:pPr>
            <w:r>
              <w:rPr>
                <w:rFonts w:ascii="New York" w:hAnsi="New York"/>
                <w:lang w:eastAsia="en-GB"/>
              </w:rPr>
              <w:t>-</w:t>
            </w:r>
            <w:r>
              <w:rPr>
                <w:rFonts w:ascii="New York" w:hAnsi="New York"/>
                <w:lang w:eastAsia="en-GB"/>
              </w:rPr>
              <w:tab/>
            </w:r>
            <w:r>
              <w:rPr>
                <w:rFonts w:ascii="New York" w:hAnsi="New York"/>
                <w:lang w:eastAsia="en-GB"/>
              </w:rPr>
              <w:t xml:space="preserve">if the UE is configured with the higher layer parameter </w:t>
            </w:r>
            <w:r>
              <w:rPr>
                <w:rFonts w:ascii="New York" w:hAnsi="New York"/>
                <w:i/>
                <w:lang w:eastAsia="en-GB"/>
              </w:rPr>
              <w:t xml:space="preserve">groupBasedBeamReporting </w:t>
            </w:r>
            <w:r>
              <w:rPr>
                <w:rFonts w:ascii="New York" w:hAnsi="New York"/>
                <w:lang w:eastAsia="en-GB"/>
              </w:rPr>
              <w:t>set to 'enabled', the UE shall report in a single reporting instance two different CRI or SSBRI for each report setting,</w:t>
            </w:r>
            <w:bookmarkEnd w:id="0"/>
            <w:r>
              <w:rPr>
                <w:rFonts w:ascii="New York" w:hAnsi="New York"/>
                <w:lang w:eastAsia="en-GB"/>
              </w:rPr>
              <w:t xml:space="preserve"> w</w:t>
            </w:r>
            <w:r>
              <w:rPr>
                <w:rFonts w:hint="eastAsia" w:ascii="New York" w:hAnsi="New York"/>
                <w:lang w:val="en-US" w:eastAsia="en-GB"/>
              </w:rPr>
              <w:t>here CSI-RS and/or SSB resources can be received simultaneously by the UE.</w:t>
            </w:r>
          </w:p>
        </w:tc>
      </w:tr>
    </w:tbl>
    <w:p>
      <w:pPr>
        <w:pStyle w:val="8"/>
        <w:numPr>
          <w:ilvl w:val="0"/>
          <w:numId w:val="0"/>
        </w:numPr>
        <w:tabs>
          <w:tab w:val="left" w:pos="226"/>
          <w:tab w:val="left" w:pos="284"/>
          <w:tab w:val="left" w:pos="5103"/>
        </w:tabs>
        <w:snapToGrid w:val="0"/>
        <w:spacing w:before="156" w:beforeLines="50"/>
        <w:ind w:leftChars="0"/>
        <w:rPr>
          <w:rFonts w:hint="eastAsia" w:ascii="New York" w:hAnsi="New York" w:eastAsia="宋体"/>
          <w:lang w:val="en-US" w:eastAsia="zh-CN"/>
        </w:rPr>
      </w:pPr>
      <w:r>
        <w:rPr>
          <w:rFonts w:hint="eastAsia" w:eastAsia="宋体"/>
          <w:color w:val="auto"/>
          <w:sz w:val="20"/>
          <w:szCs w:val="20"/>
          <w:lang w:val="en-US" w:eastAsia="zh-CN"/>
        </w:rPr>
        <w:t xml:space="preserve">Within the above details, we can see three UE capabilities are referred: </w:t>
      </w:r>
      <w:r>
        <w:rPr>
          <w:b w:val="0"/>
          <w:bCs w:val="0"/>
          <w:i/>
          <w:iCs/>
        </w:rPr>
        <w:t>groupBeamReporting</w:t>
      </w:r>
      <w:r>
        <w:rPr>
          <w:rFonts w:hint="eastAsia" w:eastAsia="宋体"/>
          <w:b w:val="0"/>
          <w:bCs w:val="0"/>
          <w:color w:val="auto"/>
          <w:sz w:val="20"/>
          <w:szCs w:val="20"/>
          <w:lang w:val="en-US" w:eastAsia="zh-CN"/>
        </w:rPr>
        <w:t>,</w:t>
      </w:r>
      <w:r>
        <w:rPr>
          <w:rFonts w:hint="eastAsia"/>
          <w:b w:val="0"/>
          <w:bCs w:val="0"/>
          <w:i/>
          <w:iCs/>
          <w:lang w:val="en-US" w:eastAsia="zh-CN"/>
        </w:rPr>
        <w:t xml:space="preserve"> </w:t>
      </w:r>
      <w:r>
        <w:rPr>
          <w:b w:val="0"/>
          <w:bCs w:val="0"/>
          <w:i/>
        </w:rPr>
        <w:t>groupSINR-reporting-r16</w:t>
      </w:r>
      <w:r>
        <w:rPr>
          <w:rFonts w:hint="eastAsia" w:eastAsia="宋体"/>
          <w:b w:val="0"/>
          <w:bCs w:val="0"/>
          <w:color w:val="auto"/>
          <w:sz w:val="20"/>
          <w:szCs w:val="20"/>
          <w:lang w:val="en-US" w:eastAsia="zh-CN"/>
        </w:rPr>
        <w:t xml:space="preserve"> and</w:t>
      </w:r>
      <w:r>
        <w:rPr>
          <w:rFonts w:hint="eastAsia" w:eastAsia="宋体"/>
          <w:b w:val="0"/>
          <w:bCs w:val="0"/>
          <w:i/>
          <w:lang w:val="en-US" w:eastAsia="zh-CN"/>
        </w:rPr>
        <w:t xml:space="preserve"> </w:t>
      </w:r>
      <w:r>
        <w:rPr>
          <w:rFonts w:cs="Arial"/>
          <w:b w:val="0"/>
          <w:bCs w:val="0"/>
          <w:i/>
          <w:iCs/>
          <w:szCs w:val="18"/>
          <w:lang w:eastAsia="en-GB"/>
        </w:rPr>
        <w:t>mTRP-GroupBasedL1-RSRP-r17</w:t>
      </w:r>
      <w:r>
        <w:rPr>
          <w:rFonts w:ascii="New York" w:hAnsi="New York"/>
          <w:lang w:eastAsia="en-GB"/>
        </w:rPr>
        <w:t>.</w:t>
      </w:r>
      <w:r>
        <w:rPr>
          <w:rFonts w:hint="eastAsia" w:ascii="New York" w:hAnsi="New York" w:eastAsia="宋体"/>
          <w:lang w:val="en-US" w:eastAsia="zh-CN"/>
        </w:rPr>
        <w:t xml:space="preserve"> The exact specification on them as as follows:</w:t>
      </w:r>
    </w:p>
    <w:tbl>
      <w:tblPr>
        <w:tblStyle w:val="1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34"/>
              <w:keepNext/>
              <w:keepLines/>
              <w:pageBreakBefore w:val="0"/>
              <w:widowControl w:val="0"/>
              <w:kinsoku/>
              <w:wordWrap/>
              <w:overflowPunct/>
              <w:topLinePunct w:val="0"/>
              <w:autoSpaceDE/>
              <w:autoSpaceDN/>
              <w:bidi w:val="0"/>
              <w:adjustRightInd/>
              <w:snapToGrid/>
              <w:spacing w:after="0" w:line="240" w:lineRule="auto"/>
              <w:textAlignment w:val="auto"/>
              <w:rPr>
                <w:rFonts w:hint="default" w:eastAsiaTheme="minorEastAsia"/>
                <w:b/>
                <w:bCs/>
                <w:i/>
                <w:iCs/>
                <w:lang w:val="en-US" w:eastAsia="zh-CN"/>
              </w:rPr>
            </w:pPr>
            <w:r>
              <w:rPr>
                <w:b/>
                <w:bCs/>
                <w:i/>
                <w:iCs/>
              </w:rPr>
              <w:t>groupBeamReporting</w:t>
            </w:r>
          </w:p>
          <w:p>
            <w:pPr>
              <w:pStyle w:val="34"/>
              <w:keepNext/>
              <w:keepLines/>
              <w:pageBreakBefore w:val="0"/>
              <w:widowControl w:val="0"/>
              <w:kinsoku/>
              <w:wordWrap/>
              <w:overflowPunct/>
              <w:topLinePunct w:val="0"/>
              <w:autoSpaceDE/>
              <w:autoSpaceDN/>
              <w:bidi w:val="0"/>
              <w:adjustRightInd/>
              <w:snapToGrid/>
              <w:spacing w:after="0" w:line="240" w:lineRule="auto"/>
              <w:textAlignment w:val="auto"/>
              <w:rPr>
                <w:rFonts w:hint="default" w:eastAsia="宋体"/>
                <w:bCs/>
                <w:iCs/>
                <w:lang w:val="en-US" w:eastAsia="zh-CN"/>
              </w:rPr>
            </w:pPr>
            <w:r>
              <w:rPr>
                <w:rFonts w:eastAsia="MS PGothic"/>
              </w:rPr>
              <w:t>Indicates whether UE supports RSRP reporting for the group of two reference signals.</w:t>
            </w:r>
            <w:r>
              <w:rPr>
                <w:rFonts w:hint="eastAsia" w:eastAsia="宋体"/>
                <w:lang w:val="en-US" w:eastAsia="zh-CN"/>
              </w:rPr>
              <w:t xml:space="preserve">  </w:t>
            </w:r>
          </w:p>
        </w:tc>
        <w:tc>
          <w:tcPr>
            <w:tcW w:w="709" w:type="dxa"/>
          </w:tcPr>
          <w:p>
            <w:pPr>
              <w:pStyle w:val="34"/>
              <w:jc w:val="center"/>
              <w:rPr>
                <w:b/>
                <w:bCs/>
                <w:sz w:val="15"/>
                <w:szCs w:val="15"/>
              </w:rPr>
            </w:pPr>
            <w:r>
              <w:rPr>
                <w:b/>
                <w:bCs/>
                <w:sz w:val="15"/>
                <w:szCs w:val="15"/>
              </w:rPr>
              <w:t>Band</w:t>
            </w:r>
          </w:p>
        </w:tc>
        <w:tc>
          <w:tcPr>
            <w:tcW w:w="567" w:type="dxa"/>
          </w:tcPr>
          <w:p>
            <w:pPr>
              <w:pStyle w:val="34"/>
              <w:jc w:val="center"/>
              <w:rPr>
                <w:b/>
                <w:bCs/>
                <w:sz w:val="15"/>
                <w:szCs w:val="15"/>
              </w:rPr>
            </w:pPr>
            <w:r>
              <w:rPr>
                <w:b/>
                <w:bCs/>
                <w:sz w:val="15"/>
                <w:szCs w:val="15"/>
              </w:rPr>
              <w:t>No</w:t>
            </w:r>
          </w:p>
        </w:tc>
        <w:tc>
          <w:tcPr>
            <w:tcW w:w="709" w:type="dxa"/>
          </w:tcPr>
          <w:p>
            <w:pPr>
              <w:pStyle w:val="34"/>
              <w:jc w:val="center"/>
              <w:rPr>
                <w:b/>
                <w:bCs/>
                <w:sz w:val="15"/>
                <w:szCs w:val="15"/>
              </w:rPr>
            </w:pPr>
            <w:r>
              <w:rPr>
                <w:b/>
                <w:bCs/>
                <w:sz w:val="15"/>
                <w:szCs w:val="15"/>
              </w:rPr>
              <w:t>N/A</w:t>
            </w:r>
          </w:p>
        </w:tc>
        <w:tc>
          <w:tcPr>
            <w:tcW w:w="728" w:type="dxa"/>
          </w:tcPr>
          <w:p>
            <w:pPr>
              <w:pStyle w:val="34"/>
              <w:jc w:val="center"/>
              <w:rPr>
                <w:b/>
                <w:bCs/>
                <w:sz w:val="15"/>
                <w:szCs w:val="15"/>
              </w:rPr>
            </w:pPr>
            <w:r>
              <w:rPr>
                <w:b/>
                <w:bCs/>
                <w:sz w:val="15"/>
                <w:szCs w:val="15"/>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34"/>
              <w:keepNext/>
              <w:keepLines/>
              <w:pageBreakBefore w:val="0"/>
              <w:widowControl w:val="0"/>
              <w:kinsoku/>
              <w:wordWrap/>
              <w:overflowPunct/>
              <w:topLinePunct w:val="0"/>
              <w:autoSpaceDE/>
              <w:autoSpaceDN/>
              <w:bidi w:val="0"/>
              <w:adjustRightInd/>
              <w:snapToGrid/>
              <w:spacing w:after="0" w:line="240" w:lineRule="auto"/>
              <w:textAlignment w:val="auto"/>
              <w:rPr>
                <w:rFonts w:hint="default" w:eastAsiaTheme="minorEastAsia"/>
                <w:b/>
                <w:i/>
                <w:lang w:val="en-US" w:eastAsia="zh-CN"/>
              </w:rPr>
            </w:pPr>
            <w:r>
              <w:rPr>
                <w:b/>
                <w:i/>
              </w:rPr>
              <w:t>groupSINR-reporting-r16</w:t>
            </w:r>
            <w:r>
              <w:rPr>
                <w:rFonts w:hint="eastAsia"/>
                <w:b/>
                <w:i/>
                <w:lang w:val="en-US" w:eastAsia="zh-CN"/>
              </w:rPr>
              <w:t xml:space="preserve"> </w:t>
            </w:r>
          </w:p>
          <w:p>
            <w:pPr>
              <w:pStyle w:val="34"/>
              <w:keepNext/>
              <w:keepLines/>
              <w:pageBreakBefore w:val="0"/>
              <w:widowControl w:val="0"/>
              <w:kinsoku/>
              <w:wordWrap/>
              <w:overflowPunct/>
              <w:topLinePunct w:val="0"/>
              <w:autoSpaceDE/>
              <w:autoSpaceDN/>
              <w:bidi w:val="0"/>
              <w:adjustRightInd/>
              <w:snapToGrid/>
              <w:spacing w:after="0" w:line="240" w:lineRule="auto"/>
              <w:textAlignment w:val="auto"/>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Pr>
          <w:p>
            <w:pPr>
              <w:pStyle w:val="34"/>
              <w:jc w:val="center"/>
              <w:rPr>
                <w:b/>
                <w:bCs/>
                <w:sz w:val="15"/>
                <w:szCs w:val="15"/>
              </w:rPr>
            </w:pPr>
            <w:r>
              <w:rPr>
                <w:b/>
                <w:bCs/>
                <w:sz w:val="15"/>
                <w:szCs w:val="15"/>
              </w:rPr>
              <w:t>Band</w:t>
            </w:r>
          </w:p>
        </w:tc>
        <w:tc>
          <w:tcPr>
            <w:tcW w:w="567" w:type="dxa"/>
          </w:tcPr>
          <w:p>
            <w:pPr>
              <w:pStyle w:val="34"/>
              <w:jc w:val="center"/>
              <w:rPr>
                <w:b/>
                <w:bCs/>
                <w:sz w:val="15"/>
                <w:szCs w:val="15"/>
              </w:rPr>
            </w:pPr>
            <w:r>
              <w:rPr>
                <w:b/>
                <w:bCs/>
                <w:sz w:val="15"/>
                <w:szCs w:val="15"/>
              </w:rPr>
              <w:t>No</w:t>
            </w:r>
          </w:p>
        </w:tc>
        <w:tc>
          <w:tcPr>
            <w:tcW w:w="709" w:type="dxa"/>
          </w:tcPr>
          <w:p>
            <w:pPr>
              <w:pStyle w:val="34"/>
              <w:jc w:val="center"/>
              <w:rPr>
                <w:b/>
                <w:bCs/>
                <w:sz w:val="15"/>
                <w:szCs w:val="15"/>
              </w:rPr>
            </w:pPr>
            <w:r>
              <w:rPr>
                <w:b/>
                <w:bCs/>
                <w:sz w:val="15"/>
                <w:szCs w:val="15"/>
              </w:rPr>
              <w:t>N/A</w:t>
            </w:r>
          </w:p>
        </w:tc>
        <w:tc>
          <w:tcPr>
            <w:tcW w:w="728" w:type="dxa"/>
          </w:tcPr>
          <w:p>
            <w:pPr>
              <w:pStyle w:val="34"/>
              <w:jc w:val="center"/>
              <w:rPr>
                <w:b/>
                <w:bCs/>
                <w:sz w:val="15"/>
                <w:szCs w:val="15"/>
              </w:rPr>
            </w:pPr>
            <w:r>
              <w:rPr>
                <w:b/>
                <w:bCs/>
                <w:sz w:val="15"/>
                <w:szCs w:val="15"/>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vAlign w:val="top"/>
          </w:tcPr>
          <w:p>
            <w:pPr>
              <w:pStyle w:val="34"/>
              <w:keepNext/>
              <w:keepLines/>
              <w:pageBreakBefore w:val="0"/>
              <w:widowControl w:val="0"/>
              <w:kinsoku/>
              <w:wordWrap/>
              <w:overflowPunct/>
              <w:topLinePunct w:val="0"/>
              <w:autoSpaceDE/>
              <w:autoSpaceDN/>
              <w:bidi w:val="0"/>
              <w:adjustRightInd/>
              <w:snapToGrid/>
              <w:spacing w:after="0" w:line="260" w:lineRule="auto"/>
              <w:textAlignment w:val="auto"/>
              <w:rPr>
                <w:rFonts w:hint="default" w:cs="Arial" w:eastAsiaTheme="minorEastAsia"/>
                <w:b/>
                <w:bCs/>
                <w:i/>
                <w:iCs/>
                <w:szCs w:val="18"/>
                <w:lang w:val="en-US" w:eastAsia="zh-CN"/>
              </w:rPr>
            </w:pPr>
            <w:r>
              <w:rPr>
                <w:rFonts w:cs="Arial"/>
                <w:b/>
                <w:bCs/>
                <w:i/>
                <w:iCs/>
                <w:szCs w:val="18"/>
                <w:lang w:eastAsia="en-GB"/>
              </w:rPr>
              <w:t>mTRP-GroupBasedL1-RSRP-r17</w:t>
            </w:r>
            <w:r>
              <w:rPr>
                <w:rFonts w:hint="eastAsia" w:cs="Arial"/>
                <w:b/>
                <w:bCs/>
                <w:i/>
                <w:iCs/>
                <w:szCs w:val="18"/>
                <w:lang w:val="en-US" w:eastAsia="zh-CN"/>
              </w:rPr>
              <w:t xml:space="preserve"> </w:t>
            </w:r>
          </w:p>
          <w:p>
            <w:pPr>
              <w:pStyle w:val="34"/>
              <w:keepNext/>
              <w:keepLines/>
              <w:pageBreakBefore w:val="0"/>
              <w:widowControl w:val="0"/>
              <w:kinsoku/>
              <w:wordWrap/>
              <w:overflowPunct/>
              <w:topLinePunct w:val="0"/>
              <w:autoSpaceDE/>
              <w:autoSpaceDN/>
              <w:bidi w:val="0"/>
              <w:adjustRightInd/>
              <w:snapToGrid/>
              <w:spacing w:after="0" w:line="240" w:lineRule="auto"/>
              <w:textAlignment w:val="auto"/>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pPr>
              <w:pStyle w:val="34"/>
              <w:keepNext/>
              <w:keepLines/>
              <w:pageBreakBefore w:val="0"/>
              <w:widowControl w:val="0"/>
              <w:kinsoku/>
              <w:wordWrap/>
              <w:overflowPunct/>
              <w:topLinePunct w:val="0"/>
              <w:autoSpaceDE/>
              <w:autoSpaceDN/>
              <w:bidi w:val="0"/>
              <w:adjustRightInd/>
              <w:snapToGrid/>
              <w:spacing w:after="0" w:line="240" w:lineRule="auto"/>
              <w:textAlignment w:val="auto"/>
              <w:rPr>
                <w:rFonts w:cs="Arial"/>
                <w:szCs w:val="18"/>
              </w:rPr>
            </w:pPr>
            <w:r>
              <w:rPr>
                <w:rFonts w:cs="Arial"/>
                <w:szCs w:val="18"/>
              </w:rPr>
              <w:t>This feature also includes following parameters:</w:t>
            </w:r>
          </w:p>
          <w:p>
            <w:pPr>
              <w:pStyle w:val="34"/>
              <w:keepNext/>
              <w:keepLines/>
              <w:pageBreakBefore w:val="0"/>
              <w:widowControl w:val="0"/>
              <w:kinsoku/>
              <w:wordWrap/>
              <w:overflowPunct/>
              <w:topLinePunct w:val="0"/>
              <w:autoSpaceDE/>
              <w:autoSpaceDN/>
              <w:bidi w:val="0"/>
              <w:adjustRightInd/>
              <w:snapToGrid/>
              <w:spacing w:after="0" w:line="240" w:lineRule="auto"/>
              <w:ind w:left="601" w:hanging="283"/>
              <w:textAlignment w:val="auto"/>
              <w:rPr>
                <w:rFonts w:hint="default" w:cs="Arial" w:eastAsiaTheme="minorEastAsia"/>
                <w:szCs w:val="18"/>
                <w:lang w:val="en-US" w:eastAsia="zh-CN"/>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r>
              <w:rPr>
                <w:rFonts w:hint="eastAsia" w:cs="Arial"/>
                <w:szCs w:val="18"/>
                <w:lang w:val="en-US" w:eastAsia="zh-CN"/>
              </w:rPr>
              <w:t xml:space="preserve"> </w:t>
            </w:r>
          </w:p>
          <w:p>
            <w:pPr>
              <w:pStyle w:val="34"/>
              <w:keepNext/>
              <w:keepLines/>
              <w:pageBreakBefore w:val="0"/>
              <w:widowControl w:val="0"/>
              <w:kinsoku/>
              <w:wordWrap/>
              <w:overflowPunct/>
              <w:topLinePunct w:val="0"/>
              <w:autoSpaceDE/>
              <w:autoSpaceDN/>
              <w:bidi w:val="0"/>
              <w:adjustRightInd/>
              <w:snapToGrid/>
              <w:spacing w:after="0" w:line="240" w:lineRule="auto"/>
              <w:ind w:left="601" w:hanging="283"/>
              <w:textAlignment w:val="auto"/>
              <w:rPr>
                <w:rFonts w:hint="default" w:cs="Arial" w:eastAsiaTheme="minorEastAsia"/>
                <w:szCs w:val="18"/>
                <w:lang w:val="en-US" w:eastAsia="zh-CN"/>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w:t>
            </w:r>
            <w:r>
              <w:rPr>
                <w:rFonts w:cs="Arial"/>
                <w:szCs w:val="18"/>
                <w:highlight w:val="none"/>
              </w:rPr>
              <w:t xml:space="preserve"> both CMR sets wi</w:t>
            </w:r>
            <w:r>
              <w:rPr>
                <w:rFonts w:cs="Arial"/>
                <w:szCs w:val="18"/>
              </w:rPr>
              <w:t>thin a slot across all CCs.</w:t>
            </w:r>
            <w:r>
              <w:rPr>
                <w:rFonts w:hint="eastAsia" w:cs="Arial"/>
                <w:szCs w:val="18"/>
                <w:lang w:val="en-US" w:eastAsia="zh-CN"/>
              </w:rPr>
              <w:t xml:space="preserve"> </w:t>
            </w:r>
          </w:p>
          <w:p>
            <w:pPr>
              <w:pStyle w:val="34"/>
              <w:keepNext/>
              <w:keepLines/>
              <w:pageBreakBefore w:val="0"/>
              <w:widowControl w:val="0"/>
              <w:kinsoku/>
              <w:wordWrap/>
              <w:overflowPunct/>
              <w:topLinePunct w:val="0"/>
              <w:autoSpaceDE/>
              <w:autoSpaceDN/>
              <w:bidi w:val="0"/>
              <w:adjustRightInd/>
              <w:snapToGrid/>
              <w:spacing w:after="0" w:line="240" w:lineRule="auto"/>
              <w:ind w:left="601" w:hanging="283"/>
              <w:textAlignment w:val="auto"/>
              <w:rPr>
                <w:rFonts w:hint="eastAsia" w:eastAsiaTheme="minorEastAsia"/>
                <w:lang w:val="en-US" w:eastAsia="zh-CN"/>
              </w:rPr>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r>
              <w:rPr>
                <w:rFonts w:hint="eastAsia"/>
                <w:lang w:val="en-US" w:eastAsia="zh-CN"/>
              </w:rPr>
              <w:t xml:space="preserve"> </w:t>
            </w:r>
          </w:p>
          <w:p>
            <w:pPr>
              <w:pStyle w:val="34"/>
              <w:keepNext/>
              <w:keepLines/>
              <w:pageBreakBefore w:val="0"/>
              <w:widowControl w:val="0"/>
              <w:kinsoku/>
              <w:wordWrap/>
              <w:overflowPunct/>
              <w:topLinePunct w:val="0"/>
              <w:autoSpaceDE/>
              <w:autoSpaceDN/>
              <w:bidi w:val="0"/>
              <w:adjustRightInd/>
              <w:snapToGrid/>
              <w:spacing w:after="0" w:line="240" w:lineRule="auto"/>
              <w:ind w:left="34" w:leftChars="0"/>
              <w:textAlignment w:val="auto"/>
              <w:rPr>
                <w:rFonts w:ascii="Arial" w:hAnsi="Arial" w:eastAsia="宋体" w:cs="Times New Roman"/>
                <w:b/>
                <w:i/>
                <w:sz w:val="18"/>
                <w:szCs w:val="20"/>
                <w:lang w:val="en-GB" w:eastAsia="en-US" w:bidi="ar-SA"/>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vAlign w:val="top"/>
          </w:tcPr>
          <w:p>
            <w:pPr>
              <w:pStyle w:val="34"/>
              <w:jc w:val="center"/>
              <w:rPr>
                <w:rFonts w:ascii="Arial" w:hAnsi="Arial" w:eastAsia="宋体" w:cs="Times New Roman"/>
                <w:b/>
                <w:bCs/>
                <w:sz w:val="15"/>
                <w:szCs w:val="15"/>
                <w:lang w:val="en-GB" w:eastAsia="en-US" w:bidi="ar-SA"/>
              </w:rPr>
            </w:pPr>
            <w:r>
              <w:rPr>
                <w:b/>
                <w:bCs/>
                <w:sz w:val="15"/>
                <w:szCs w:val="15"/>
              </w:rPr>
              <w:t>Band</w:t>
            </w:r>
          </w:p>
        </w:tc>
        <w:tc>
          <w:tcPr>
            <w:tcW w:w="567" w:type="dxa"/>
            <w:vAlign w:val="top"/>
          </w:tcPr>
          <w:p>
            <w:pPr>
              <w:pStyle w:val="34"/>
              <w:jc w:val="center"/>
              <w:rPr>
                <w:rFonts w:ascii="Arial" w:hAnsi="Arial" w:eastAsia="宋体" w:cs="Times New Roman"/>
                <w:b/>
                <w:bCs/>
                <w:sz w:val="15"/>
                <w:szCs w:val="15"/>
                <w:lang w:val="en-GB" w:eastAsia="en-US" w:bidi="ar-SA"/>
              </w:rPr>
            </w:pPr>
            <w:r>
              <w:rPr>
                <w:b/>
                <w:bCs/>
                <w:sz w:val="15"/>
                <w:szCs w:val="15"/>
              </w:rPr>
              <w:t>No</w:t>
            </w:r>
          </w:p>
        </w:tc>
        <w:tc>
          <w:tcPr>
            <w:tcW w:w="709" w:type="dxa"/>
            <w:vAlign w:val="top"/>
          </w:tcPr>
          <w:p>
            <w:pPr>
              <w:pStyle w:val="34"/>
              <w:jc w:val="center"/>
              <w:rPr>
                <w:rFonts w:ascii="Arial" w:hAnsi="Arial" w:eastAsia="宋体" w:cs="Times New Roman"/>
                <w:b/>
                <w:bCs/>
                <w:sz w:val="15"/>
                <w:szCs w:val="15"/>
                <w:lang w:val="en-GB" w:eastAsia="en-US" w:bidi="ar-SA"/>
              </w:rPr>
            </w:pPr>
            <w:r>
              <w:rPr>
                <w:b/>
                <w:bCs/>
                <w:iCs/>
                <w:sz w:val="15"/>
                <w:szCs w:val="15"/>
              </w:rPr>
              <w:t>N/A</w:t>
            </w:r>
          </w:p>
        </w:tc>
        <w:tc>
          <w:tcPr>
            <w:tcW w:w="728" w:type="dxa"/>
            <w:vAlign w:val="top"/>
          </w:tcPr>
          <w:p>
            <w:pPr>
              <w:pStyle w:val="34"/>
              <w:jc w:val="center"/>
              <w:rPr>
                <w:rFonts w:ascii="Arial" w:hAnsi="Arial" w:eastAsia="宋体" w:cs="Times New Roman"/>
                <w:b/>
                <w:bCs/>
                <w:sz w:val="15"/>
                <w:szCs w:val="15"/>
                <w:lang w:val="en-GB" w:eastAsia="en-US" w:bidi="ar-SA"/>
              </w:rPr>
            </w:pPr>
            <w:r>
              <w:rPr>
                <w:b/>
                <w:bCs/>
                <w:iCs/>
                <w:sz w:val="15"/>
                <w:szCs w:val="15"/>
              </w:rPr>
              <w:t>N/A</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R15, the L1-RSRP group-based report is supported. If the UE is capable of </w:t>
      </w:r>
      <w:r>
        <w:rPr>
          <w:rFonts w:hint="eastAsia" w:eastAsia="宋体"/>
          <w:i/>
          <w:iCs/>
          <w:color w:val="auto"/>
          <w:sz w:val="20"/>
          <w:szCs w:val="20"/>
          <w:lang w:val="en-US" w:eastAsia="zh-CN"/>
        </w:rPr>
        <w:t xml:space="preserve">groupBeamReporting </w:t>
      </w:r>
      <w:r>
        <w:rPr>
          <w:rFonts w:hint="eastAsia" w:eastAsia="宋体"/>
          <w:color w:val="auto"/>
          <w:sz w:val="20"/>
          <w:szCs w:val="20"/>
          <w:lang w:val="en-US" w:eastAsia="zh-CN"/>
        </w:rPr>
        <w:t xml:space="preserve">and the NW enable the </w:t>
      </w:r>
      <w:r>
        <w:rPr>
          <w:rFonts w:hint="eastAsia" w:eastAsia="宋体"/>
          <w:i/>
          <w:iCs/>
          <w:color w:val="auto"/>
          <w:sz w:val="20"/>
          <w:szCs w:val="20"/>
          <w:lang w:val="en-US" w:eastAsia="zh-CN"/>
        </w:rPr>
        <w:t>groupBasedBeamReporting</w:t>
      </w:r>
      <w:r>
        <w:rPr>
          <w:rFonts w:hint="eastAsia" w:eastAsia="宋体"/>
          <w:color w:val="auto"/>
          <w:sz w:val="20"/>
          <w:szCs w:val="20"/>
          <w:lang w:val="en-US" w:eastAsia="zh-CN"/>
        </w:rPr>
        <w:t>, the UE can report a pair of SSBRI or CRI to support mTRP transmission.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R16, the L1-SINR group based report is supported. The mechanism is similar as L1-RSRP group-based report in 15. The corresponding UE capability is </w:t>
      </w:r>
      <w:r>
        <w:rPr>
          <w:rFonts w:hint="eastAsia" w:eastAsia="宋体"/>
          <w:i/>
          <w:iCs/>
          <w:color w:val="auto"/>
          <w:sz w:val="20"/>
          <w:szCs w:val="20"/>
          <w:lang w:val="en-US" w:eastAsia="zh-CN"/>
        </w:rPr>
        <w:t>groupSINR-reporting-r16</w:t>
      </w:r>
      <w:r>
        <w:rPr>
          <w:rFonts w:hint="eastAsia" w:eastAsia="宋体"/>
          <w:color w:val="auto"/>
          <w:sz w:val="20"/>
          <w:szCs w:val="20"/>
          <w:lang w:val="en-US" w:eastAsia="zh-CN"/>
        </w:rPr>
        <w: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R17, some further enhancement on L1-RSRP group-based report is introduced. NW can configure two CSI-RS resource set to UE, so that each CSI-RS resource set corresponds to each TRP. Further more, the number of SSBRI or CRI pair reported by UE is extended from one to </w:t>
      </w:r>
      <w:r>
        <w:rPr>
          <w:rFonts w:hint="eastAsia" w:eastAsia="宋体"/>
          <w:i/>
          <w:iCs/>
          <w:color w:val="auto"/>
          <w:sz w:val="20"/>
          <w:szCs w:val="20"/>
          <w:lang w:val="en-US" w:eastAsia="zh-CN"/>
        </w:rPr>
        <w:t>nrofReportedRSgroup</w:t>
      </w:r>
      <w:r>
        <w:rPr>
          <w:rFonts w:hint="eastAsia" w:eastAsia="宋体"/>
          <w:color w:val="auto"/>
          <w:sz w:val="20"/>
          <w:szCs w:val="20"/>
          <w:lang w:val="en-US" w:eastAsia="zh-CN"/>
        </w:rPr>
        <w:t xml:space="preserve">. The corresponding UE capability is </w:t>
      </w:r>
      <w:r>
        <w:rPr>
          <w:rFonts w:hint="eastAsia" w:eastAsia="宋体"/>
          <w:i/>
          <w:iCs/>
          <w:color w:val="auto"/>
          <w:sz w:val="20"/>
          <w:szCs w:val="20"/>
          <w:lang w:val="en-US" w:eastAsia="zh-CN"/>
        </w:rPr>
        <w:t>mTRP-GroupBasedL1-RSRP-r17</w:t>
      </w:r>
      <w:r>
        <w:rPr>
          <w:rFonts w:hint="eastAsia" w:eastAsia="宋体"/>
          <w:color w:val="auto"/>
          <w:sz w:val="20"/>
          <w:szCs w:val="20"/>
          <w:lang w:val="en-US" w:eastAsia="zh-CN"/>
        </w:rPr>
        <w:t>. For L1-SINR report, not any enhancement achieved in R17.</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L1-RSRP group-based report is supported from R15 and is further enhanced in R17. L1-SINR group-based report is supported from R16. Three corresponding UE capabilities: </w:t>
      </w:r>
      <w:r>
        <w:rPr>
          <w:rFonts w:hint="eastAsia" w:eastAsia="宋体" w:cs="Times New Roman"/>
          <w:b/>
          <w:bCs/>
          <w:i/>
          <w:iCs/>
          <w:color w:val="auto"/>
          <w:sz w:val="20"/>
          <w:szCs w:val="20"/>
          <w:highlight w:val="none"/>
          <w:lang w:val="en-US" w:eastAsia="zh-CN" w:bidi="ar-SA"/>
        </w:rPr>
        <w:t>groupBeamReporting</w:t>
      </w:r>
      <w:r>
        <w:rPr>
          <w:rFonts w:hint="eastAsia" w:eastAsia="宋体" w:cs="Times New Roman"/>
          <w:b/>
          <w:bCs/>
          <w:color w:val="auto"/>
          <w:sz w:val="20"/>
          <w:szCs w:val="20"/>
          <w:highlight w:val="none"/>
          <w:lang w:val="en-US" w:eastAsia="zh-CN" w:bidi="ar-SA"/>
        </w:rPr>
        <w:t xml:space="preserve">, </w:t>
      </w:r>
      <w:r>
        <w:rPr>
          <w:rFonts w:hint="eastAsia" w:eastAsia="宋体" w:cs="Times New Roman"/>
          <w:b/>
          <w:bCs/>
          <w:i/>
          <w:iCs/>
          <w:color w:val="auto"/>
          <w:sz w:val="20"/>
          <w:szCs w:val="20"/>
          <w:highlight w:val="none"/>
          <w:lang w:val="en-US" w:eastAsia="zh-CN" w:bidi="ar-SA"/>
        </w:rPr>
        <w:t>groupSINR-reporting-r16</w:t>
      </w:r>
      <w:r>
        <w:rPr>
          <w:rFonts w:hint="eastAsia" w:eastAsia="宋体" w:cs="Times New Roman"/>
          <w:b/>
          <w:bCs/>
          <w:color w:val="auto"/>
          <w:sz w:val="20"/>
          <w:szCs w:val="20"/>
          <w:highlight w:val="none"/>
          <w:lang w:val="en-US" w:eastAsia="zh-CN" w:bidi="ar-SA"/>
        </w:rPr>
        <w:t xml:space="preserve"> and</w:t>
      </w:r>
      <w:r>
        <w:rPr>
          <w:rFonts w:hint="eastAsia" w:eastAsia="宋体" w:cs="Times New Roman"/>
          <w:b/>
          <w:bCs/>
          <w:i/>
          <w:iCs/>
          <w:color w:val="auto"/>
          <w:sz w:val="20"/>
          <w:szCs w:val="20"/>
          <w:highlight w:val="none"/>
          <w:lang w:val="en-US" w:eastAsia="zh-CN" w:bidi="ar-SA"/>
        </w:rPr>
        <w:t xml:space="preserve"> mTRP-GroupBasedL1-RSRP-r17</w:t>
      </w:r>
      <w:r>
        <w:rPr>
          <w:rFonts w:hint="eastAsia" w:eastAsia="宋体" w:cs="Times New Roman"/>
          <w:b/>
          <w:bCs/>
          <w:color w:val="auto"/>
          <w:sz w:val="20"/>
          <w:szCs w:val="20"/>
          <w:highlight w:val="none"/>
          <w:lang w:val="en-US" w:eastAsia="zh-CN" w:bidi="ar-SA"/>
        </w:rPr>
        <w:t xml:space="preserve"> were identified in R15, R16 and R17 respectively.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three corresponding UE capabilities are all optional type.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to intra-cell and inter-cell mTRP scenarios, the support of group-based report is not identical. For intra-cell scenario, both SSB type and CSI-RS type group-based report are allowed. But for inter-cell scenario, since RAN 1 specified that the SSB with additional PCI is not allowed to be applied to group-based report, so SSB type group-based report is not supported. But there is not any limitation on CSI-RS type, so we can believe only CSI-RS type group-based report is allowed for inter-cell scenario. While for intra-cell scenario, both SSB type and CSI-RS type group-based report are supported.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The support of group-based report for intra-cell mTRP and inter-cell mTRP are different. For inter-cell mTRP, only CSI-RS type group-based report is allowed. While for intra-cell mTRP, both CSI-RS and SSB types group-based report are allowed.</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Based on the above analysis, we can see in R15 and R16, only one CSI-RS resource set even the group-based report is enabled, and in R17, two CSI-RS resource sets can be configured when the group-based report is enabled. But no matter one set or two sets are configured, there is not any restriction on the RS resources configuration. So the reported two CSI-RS in a single group-based report can be transmitted by the two TRPs simultaneously or non-simultaneously. For SSB type, of course the reported two SSBRI in a single group-based report can not be transmitted simultaneously. So from this point of view, the group-based report is not different with non group-based report.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4: No matter for CSI-RS type or SSB type, there is not any restriction to limit the reported two CSI-RS or SSB within a single group-based report should be overlapping in time.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a word, considering the corresponding UE capabilities are all optional type, and the RS measurement can be simultaneously or in sequentially, we believe group-based report is only one of the solutions to achieve multi-panle Rx, not the only solution. Especially under intra-cell mTRP, each CSI-RS or SSB is transmitted through TRP 0 or TRP 1, which is transparent to UE. So as long as the NW collects reported CRI or SSBRI transmitted from different TRPs, no matter from group-based report or non group-based report. </w:t>
      </w:r>
    </w:p>
    <w:p>
      <w:pPr>
        <w:pStyle w:val="8"/>
        <w:tabs>
          <w:tab w:val="left" w:pos="226"/>
          <w:tab w:val="left" w:pos="284"/>
          <w:tab w:val="left" w:pos="5103"/>
        </w:tabs>
        <w:snapToGrid w:val="0"/>
        <w:spacing w:before="156" w:beforeLines="5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color w:val="auto"/>
          <w:sz w:val="20"/>
          <w:szCs w:val="20"/>
          <w:highlight w:val="none"/>
          <w:lang w:val="en-US" w:eastAsia="zh-CN" w:bidi="ar-SA"/>
        </w:rPr>
        <w:t>Proposal 1: No matter through group-based report or non group-based report, as long as the NW can collect the CSIRI or SSBRI report related with each TRP, multi-panel Rx can be supported from the perspective of beam report.</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The reduction of scaling factor N for Rx beam sweeping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RRM measurement and L1-RSRP measurement, for SSB based, the UE always need to perform Rx beam sweeping to acquire the Rx beam tracing. The different point is that for RRM measurement, coarse beam is assumed since of the lack of prior information. While for L1-RSRP measurement, it is only oriented to the serving cell, so fine beam is assumed during the SSB based L1-RSRP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the UE configured with multiple antenna panels, since of some prior information acquired by the UE, so for Rx beam sweeping of L1-RSRP measurement, maybe one antenna panel has been down-selected through the previous RRM measurement. Under such assumption, the Rx beam sweeping of L1-RSRP measurement is only performed on a single antenna panel. Another UE implementation is that still all antenna panels are referred to during Rx beam sweeping of L1-RSRP measurement.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Assumption 1: </w:t>
      </w:r>
      <w:r>
        <w:rPr>
          <w:rFonts w:hint="eastAsia"/>
          <w:lang w:val="en-US" w:eastAsia="zh-CN"/>
        </w:rPr>
        <w:t>L1-RSRP measurement is performed only by a single panel down-selected by RRM measurement</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Assumption 2: </w:t>
      </w:r>
      <w:r>
        <w:rPr>
          <w:rFonts w:hint="eastAsia"/>
          <w:lang w:val="en-US" w:eastAsia="zh-CN"/>
        </w:rPr>
        <w:t>L1-RSRP measurement is performed by multiple panels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2: For the case of a single panel has been down-selected by previous RRM measurement(named as Assumption 1), the Rx beam sweeping during L1-RSRP measurement is performed only by a single panel. While for other case(named as Assumption 2), the Rx beam sweeping during L1-RSRP measurement is performed by multiple panels.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Under Assumption 1, it is convenient to realize simultaneous two L1-RSRP measurement procedures for two TRPs. As shown in the below figure 1. In this case, UE can perform two L1-RSRP measurement for the two TRPs in parallel. while for the UE not capable of simultaneous multi-panel Rx, it can only perform the two L1-RSRP measurement sequentially, as shown in below Figure 2.</w:t>
      </w:r>
    </w:p>
    <w:p>
      <w:pPr>
        <w:numPr>
          <w:ilvl w:val="0"/>
          <w:numId w:val="0"/>
        </w:numPr>
        <w:bidi w:val="0"/>
        <w:ind w:leftChars="0"/>
        <w:jc w:val="center"/>
      </w:pPr>
      <w:r>
        <w:drawing>
          <wp:inline distT="0" distB="0" distL="114300" distR="114300">
            <wp:extent cx="3992880" cy="937260"/>
            <wp:effectExtent l="0" t="0" r="0" b="762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5"/>
                    <a:stretch>
                      <a:fillRect/>
                    </a:stretch>
                  </pic:blipFill>
                  <pic:spPr>
                    <a:xfrm>
                      <a:off x="0" y="0"/>
                      <a:ext cx="3992880" cy="93726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1. Perform L1-RSRP measurement for two TRPs in parallel</w:t>
      </w:r>
    </w:p>
    <w:p>
      <w:pPr>
        <w:numPr>
          <w:ilvl w:val="0"/>
          <w:numId w:val="0"/>
        </w:numPr>
        <w:bidi w:val="0"/>
        <w:ind w:leftChars="0"/>
        <w:jc w:val="center"/>
      </w:pPr>
      <w:r>
        <w:drawing>
          <wp:inline distT="0" distB="0" distL="114300" distR="114300">
            <wp:extent cx="3985260" cy="1943100"/>
            <wp:effectExtent l="0" t="0" r="7620" b="762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6"/>
                    <a:stretch>
                      <a:fillRect/>
                    </a:stretch>
                  </pic:blipFill>
                  <pic:spPr>
                    <a:xfrm>
                      <a:off x="0" y="0"/>
                      <a:ext cx="3985260" cy="1943100"/>
                    </a:xfrm>
                    <a:prstGeom prst="rect">
                      <a:avLst/>
                    </a:prstGeom>
                    <a:noFill/>
                    <a:ln>
                      <a:noFill/>
                    </a:ln>
                  </pic:spPr>
                </pic:pic>
              </a:graphicData>
            </a:graphic>
          </wp:inline>
        </w:drawing>
      </w:r>
    </w:p>
    <w:p>
      <w:pPr>
        <w:numPr>
          <w:ilvl w:val="0"/>
          <w:numId w:val="0"/>
        </w:numPr>
        <w:bidi w:val="0"/>
        <w:ind w:leftChars="0"/>
        <w:jc w:val="center"/>
        <w:rPr>
          <w:rFonts w:hint="default" w:eastAsia="宋体"/>
          <w:lang w:val="en-US" w:eastAsia="zh-CN"/>
        </w:rPr>
      </w:pPr>
      <w:r>
        <w:rPr>
          <w:rFonts w:hint="eastAsia"/>
          <w:lang w:val="en-US" w:eastAsia="zh-CN"/>
        </w:rPr>
        <w:t>Figure 2. Perform L1-RSRP measurement for two TRPs sequentially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total measurement period can be reduced since of the relaxation on measurement restriction. However regarding to the beam sweeping factor, we can not see direct enhancement.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Under Assumption 1), i.e. L1-RSRP measurement is performed only by a single panel down-selected by RRM measurement, no room to reduce the scaling factor of Rx beam sweeping.</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Under Assumption 2, as shown in Figure 3, it is obvious that the fully beam sweeping needs multiple panels</w:t>
      </w:r>
      <w:r>
        <w:rPr>
          <w:rFonts w:hint="default" w:eastAsia="宋体"/>
          <w:color w:val="auto"/>
          <w:sz w:val="20"/>
          <w:szCs w:val="20"/>
          <w:lang w:val="en-US" w:eastAsia="zh-CN"/>
        </w:rPr>
        <w:t>’</w:t>
      </w:r>
      <w:r>
        <w:rPr>
          <w:rFonts w:hint="eastAsia" w:eastAsia="宋体"/>
          <w:color w:val="auto"/>
          <w:sz w:val="20"/>
          <w:szCs w:val="20"/>
          <w:lang w:val="en-US" w:eastAsia="zh-CN"/>
        </w:rPr>
        <w:t xml:space="preserve"> participation, for the UE capable of simultaneous multi-panel Rx, UE can perform partial beam sweeping by each panel at the same time as below. So the beam sweeping factor can be reduced by a half, i.e. from N to N/2. Further more, one condition is that each panel can cover half of the fully beam directions. If the beam coverage of multiple panels are different, e.g. one panel covers 2 beam directions and another panel covers 6 beam directions, as shown in figure 4, under such situation, the beam sweeping factor can not relax from N to N/2, but only relax from N to maximum[N1, N2], here N1and N2 refer to the number of beams covered by each panel respectively.</w:t>
      </w:r>
    </w:p>
    <w:p>
      <w:pPr>
        <w:numPr>
          <w:ilvl w:val="0"/>
          <w:numId w:val="0"/>
        </w:numPr>
        <w:bidi w:val="0"/>
        <w:ind w:leftChars="0"/>
        <w:jc w:val="center"/>
      </w:pPr>
      <w:r>
        <w:drawing>
          <wp:inline distT="0" distB="0" distL="114300" distR="114300">
            <wp:extent cx="1973580" cy="2567940"/>
            <wp:effectExtent l="0" t="0" r="7620" b="762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7"/>
                    <a:stretch>
                      <a:fillRect/>
                    </a:stretch>
                  </pic:blipFill>
                  <pic:spPr>
                    <a:xfrm>
                      <a:off x="0" y="0"/>
                      <a:ext cx="1973580" cy="2567940"/>
                    </a:xfrm>
                    <a:prstGeom prst="rect">
                      <a:avLst/>
                    </a:prstGeom>
                    <a:noFill/>
                    <a:ln>
                      <a:noFill/>
                    </a:ln>
                  </pic:spPr>
                </pic:pic>
              </a:graphicData>
            </a:graphic>
          </wp:inline>
        </w:drawing>
      </w:r>
    </w:p>
    <w:p>
      <w:pPr>
        <w:numPr>
          <w:ilvl w:val="0"/>
          <w:numId w:val="0"/>
        </w:numPr>
        <w:bidi w:val="0"/>
        <w:ind w:leftChars="0"/>
        <w:jc w:val="center"/>
        <w:rPr>
          <w:rFonts w:hint="eastAsia"/>
          <w:lang w:val="en-US" w:eastAsia="zh-CN"/>
        </w:rPr>
      </w:pPr>
      <w:r>
        <w:rPr>
          <w:rFonts w:hint="eastAsia"/>
          <w:lang w:val="en-US" w:eastAsia="zh-CN"/>
        </w:rPr>
        <w:t>Figure 3. Each L1 measurement needs beam sweeping including multiple panels</w:t>
      </w:r>
    </w:p>
    <w:p>
      <w:pPr>
        <w:numPr>
          <w:ilvl w:val="0"/>
          <w:numId w:val="0"/>
        </w:numPr>
        <w:bidi w:val="0"/>
        <w:ind w:leftChars="0"/>
        <w:jc w:val="center"/>
      </w:pPr>
      <w:r>
        <w:drawing>
          <wp:inline distT="0" distB="0" distL="114300" distR="114300">
            <wp:extent cx="2491740" cy="1303020"/>
            <wp:effectExtent l="0" t="0" r="7620" b="762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8"/>
                    <a:stretch>
                      <a:fillRect/>
                    </a:stretch>
                  </pic:blipFill>
                  <pic:spPr>
                    <a:xfrm>
                      <a:off x="0" y="0"/>
                      <a:ext cx="2491740" cy="130302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4. Each panel covers different number of beam directions</w:t>
      </w:r>
    </w:p>
    <w:p>
      <w:pPr>
        <w:numPr>
          <w:ilvl w:val="0"/>
          <w:numId w:val="0"/>
        </w:numPr>
        <w:bidi w:val="0"/>
        <w:ind w:leftChars="0"/>
        <w:jc w:val="center"/>
        <w:rPr>
          <w:rFonts w:hint="eastAsia"/>
          <w:lang w:val="en-US" w:eastAsia="zh-CN"/>
        </w:rPr>
      </w:pP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Under Assumption 2), i.e. L1-RSRP measurement is performed by multiple panels, UE can perform partial beam sweeping by each panel at the same. So the beam sweeping factor can be reduced.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case of each panel can cover half of the fully beam directions, the beam sweeping factor can be reduced by a half, i.e. from N to N/2.</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other cases, the beam sweeping factor can be reduced from N to maximum[N1, N2], here N1and N2 refer to the number of beams covered by each panel respectively.</w:t>
      </w:r>
      <w:bookmarkStart w:id="1" w:name="_GoBack"/>
      <w:bookmarkEnd w:id="1"/>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L1-RSRP measurement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L1-RSRP group-based report is supported from R15 and is further enhanced in R17. L1-SINR group-based report is supported from R16. Three corresponding UE capabilities: </w:t>
      </w:r>
      <w:r>
        <w:rPr>
          <w:rFonts w:hint="eastAsia" w:eastAsia="宋体" w:cs="Times New Roman"/>
          <w:b/>
          <w:bCs/>
          <w:i/>
          <w:iCs/>
          <w:color w:val="auto"/>
          <w:sz w:val="20"/>
          <w:szCs w:val="20"/>
          <w:highlight w:val="none"/>
          <w:lang w:val="en-US" w:eastAsia="zh-CN" w:bidi="ar-SA"/>
        </w:rPr>
        <w:t>groupBeamReporting</w:t>
      </w:r>
      <w:r>
        <w:rPr>
          <w:rFonts w:hint="eastAsia" w:eastAsia="宋体" w:cs="Times New Roman"/>
          <w:b/>
          <w:bCs/>
          <w:color w:val="auto"/>
          <w:sz w:val="20"/>
          <w:szCs w:val="20"/>
          <w:highlight w:val="none"/>
          <w:lang w:val="en-US" w:eastAsia="zh-CN" w:bidi="ar-SA"/>
        </w:rPr>
        <w:t xml:space="preserve">, </w:t>
      </w:r>
      <w:r>
        <w:rPr>
          <w:rFonts w:hint="eastAsia" w:eastAsia="宋体" w:cs="Times New Roman"/>
          <w:b/>
          <w:bCs/>
          <w:i/>
          <w:iCs/>
          <w:color w:val="auto"/>
          <w:sz w:val="20"/>
          <w:szCs w:val="20"/>
          <w:highlight w:val="none"/>
          <w:lang w:val="en-US" w:eastAsia="zh-CN" w:bidi="ar-SA"/>
        </w:rPr>
        <w:t>groupSINR-reporting-r16</w:t>
      </w:r>
      <w:r>
        <w:rPr>
          <w:rFonts w:hint="eastAsia" w:eastAsia="宋体" w:cs="Times New Roman"/>
          <w:b/>
          <w:bCs/>
          <w:color w:val="auto"/>
          <w:sz w:val="20"/>
          <w:szCs w:val="20"/>
          <w:highlight w:val="none"/>
          <w:lang w:val="en-US" w:eastAsia="zh-CN" w:bidi="ar-SA"/>
        </w:rPr>
        <w:t xml:space="preserve"> and</w:t>
      </w:r>
      <w:r>
        <w:rPr>
          <w:rFonts w:hint="eastAsia" w:eastAsia="宋体" w:cs="Times New Roman"/>
          <w:b/>
          <w:bCs/>
          <w:i/>
          <w:iCs/>
          <w:color w:val="auto"/>
          <w:sz w:val="20"/>
          <w:szCs w:val="20"/>
          <w:highlight w:val="none"/>
          <w:lang w:val="en-US" w:eastAsia="zh-CN" w:bidi="ar-SA"/>
        </w:rPr>
        <w:t xml:space="preserve"> mTRP-GroupBasedL1-RSRP-r17</w:t>
      </w:r>
      <w:r>
        <w:rPr>
          <w:rFonts w:hint="eastAsia" w:eastAsia="宋体" w:cs="Times New Roman"/>
          <w:b/>
          <w:bCs/>
          <w:color w:val="auto"/>
          <w:sz w:val="20"/>
          <w:szCs w:val="20"/>
          <w:highlight w:val="none"/>
          <w:lang w:val="en-US" w:eastAsia="zh-CN" w:bidi="ar-SA"/>
        </w:rPr>
        <w:t xml:space="preserve"> were identified in R15, R16 and R17 respectively.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three corresponding UE capabilities are all optional type.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The support of group-based report for intra-cell mTRP and inter-cell mTRP are different. For inter-cell mTRP, only CSI-RS type group-based report is allowed. While for intra-cell mTRP, both CSI-RS and SSB types group-based report are allowed.</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4: No matter for CSI-RS type or SSB type, there is not any restriction to limit the reported two CSI-RS or SSB within a single group-based report should be overlapping in time.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No matter through group-based report or non group-based report, as long as the NW can collect the CSIRI or SSBRI report related with each TRP, multi-panel Rx can be supported from the perspective of beam report.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the case of a single panel has been down-selected by previous RRM measurement(named as Assumption 1), the Rx beam sweeping during L1-RSRP measurement is performed only by a single panel. While for other case(named as Assumption 2), the Rx beam sweeping during L1-RSRP measurement is performed by multiple panels.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Under Assumption 1), i.e. L1-RSRP measurement is performed only by a single panel down-selected by RRM measurement, no room to reduce the scaling factor of Rx beam sweeping.</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Under Assumption 2), i.e. L1-RSRP measurement is performed by multiple panels, UE can perform partial beam sweeping by each panel at the same. So the beam sweeping factor can be reduced.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case of each panel can cover half of the fully beam directions, the beam sweeping factor can be reduced by a half, i.e. from N to N/2.</w:t>
      </w:r>
    </w:p>
    <w:p>
      <w:pPr>
        <w:pStyle w:val="8"/>
        <w:numPr>
          <w:ilvl w:val="0"/>
          <w:numId w:val="6"/>
        </w:numPr>
        <w:tabs>
          <w:tab w:val="left" w:pos="226"/>
          <w:tab w:val="left" w:pos="284"/>
          <w:tab w:val="left" w:pos="5103"/>
        </w:tabs>
        <w:snapToGrid w:val="0"/>
        <w:spacing w:before="156" w:beforeLines="50"/>
        <w:ind w:left="420" w:leftChars="0" w:hanging="420" w:firstLineChars="0"/>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For other cases, the beam sweeping factor can be reduced from N to maximum[N1, N2], here N1and N2 refer to the number of beams covered by each panel respectively.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R4-2220743 </w:t>
      </w:r>
      <w:r>
        <w:rPr>
          <w:rFonts w:hint="default"/>
          <w:color w:val="auto"/>
          <w:highlight w:val="none"/>
          <w:lang w:val="en-US" w:eastAsia="zh-CN"/>
        </w:rPr>
        <w:t>“</w:t>
      </w:r>
      <w:r>
        <w:rPr>
          <w:rFonts w:hint="eastAsia"/>
          <w:color w:val="auto"/>
          <w:highlight w:val="none"/>
          <w:lang w:val="en-US" w:eastAsia="zh-CN"/>
        </w:rPr>
        <w:t>WF on NR FR2 multi-Rx chain DL reception – Part 2</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TS38.214-h40</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游明朝">
    <w:altName w:val="MS PMincho"/>
    <w:panose1 w:val="02020400000000000000"/>
    <w:charset w:val="80"/>
    <w:family w:val="roman"/>
    <w:pitch w:val="default"/>
    <w:sig w:usb0="00000000" w:usb1="00000000"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7552EDE"/>
    <w:multiLevelType w:val="singleLevel"/>
    <w:tmpl w:val="37552EDE"/>
    <w:lvl w:ilvl="0" w:tentative="0">
      <w:start w:val="1"/>
      <w:numFmt w:val="bullet"/>
      <w:lvlText w:val=""/>
      <w:lvlJc w:val="left"/>
      <w:pPr>
        <w:ind w:left="420" w:hanging="420"/>
      </w:pPr>
      <w:rPr>
        <w:rFonts w:hint="default" w:ascii="Wingdings" w:hAnsi="Wingdings"/>
      </w:rPr>
    </w:lvl>
  </w:abstractNum>
  <w:abstractNum w:abstractNumId="3">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7"/>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5"/>
  </w:num>
  <w:num w:numId="4">
    <w:abstractNumId w:val="1"/>
  </w:num>
  <w:num w:numId="5">
    <w:abstractNumId w:val="3"/>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230A8"/>
    <w:rsid w:val="03D4720A"/>
    <w:rsid w:val="03E04DEA"/>
    <w:rsid w:val="04151694"/>
    <w:rsid w:val="04654053"/>
    <w:rsid w:val="04793516"/>
    <w:rsid w:val="047A3CFF"/>
    <w:rsid w:val="04885243"/>
    <w:rsid w:val="05317828"/>
    <w:rsid w:val="05477E90"/>
    <w:rsid w:val="05BB5AB9"/>
    <w:rsid w:val="05C42923"/>
    <w:rsid w:val="05F562DB"/>
    <w:rsid w:val="066F3C18"/>
    <w:rsid w:val="06963BA6"/>
    <w:rsid w:val="06965F3C"/>
    <w:rsid w:val="07CD3CDD"/>
    <w:rsid w:val="084B363C"/>
    <w:rsid w:val="0855671D"/>
    <w:rsid w:val="089009EB"/>
    <w:rsid w:val="09716BCA"/>
    <w:rsid w:val="098C1CEA"/>
    <w:rsid w:val="09902DFD"/>
    <w:rsid w:val="09D64B23"/>
    <w:rsid w:val="09E644B8"/>
    <w:rsid w:val="0B12013A"/>
    <w:rsid w:val="0B1C5C6A"/>
    <w:rsid w:val="0B243EFB"/>
    <w:rsid w:val="0B3D3C2F"/>
    <w:rsid w:val="0B5D15B4"/>
    <w:rsid w:val="0BAC06FA"/>
    <w:rsid w:val="0BB0429A"/>
    <w:rsid w:val="0BFF5FC6"/>
    <w:rsid w:val="0C276675"/>
    <w:rsid w:val="0C394019"/>
    <w:rsid w:val="0EC91588"/>
    <w:rsid w:val="0F6C0B73"/>
    <w:rsid w:val="0F8009F9"/>
    <w:rsid w:val="10997F43"/>
    <w:rsid w:val="10DE7BAE"/>
    <w:rsid w:val="11023BFD"/>
    <w:rsid w:val="110404BB"/>
    <w:rsid w:val="111C20F6"/>
    <w:rsid w:val="11ED345F"/>
    <w:rsid w:val="120774A3"/>
    <w:rsid w:val="12580C13"/>
    <w:rsid w:val="130B3696"/>
    <w:rsid w:val="14006D19"/>
    <w:rsid w:val="1414436B"/>
    <w:rsid w:val="14330E67"/>
    <w:rsid w:val="1481754F"/>
    <w:rsid w:val="148F5721"/>
    <w:rsid w:val="14AC57CD"/>
    <w:rsid w:val="14B14D17"/>
    <w:rsid w:val="15ED3E9B"/>
    <w:rsid w:val="164514BE"/>
    <w:rsid w:val="170F06AA"/>
    <w:rsid w:val="17225508"/>
    <w:rsid w:val="180A6E32"/>
    <w:rsid w:val="183F2CD2"/>
    <w:rsid w:val="1856323E"/>
    <w:rsid w:val="18AF55E3"/>
    <w:rsid w:val="18B1519A"/>
    <w:rsid w:val="18CD0507"/>
    <w:rsid w:val="195D7D48"/>
    <w:rsid w:val="19852D03"/>
    <w:rsid w:val="1A6F1A83"/>
    <w:rsid w:val="1AD01A1B"/>
    <w:rsid w:val="1B4C5221"/>
    <w:rsid w:val="1B6106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C75F31"/>
    <w:rsid w:val="1FFD4083"/>
    <w:rsid w:val="20122D1B"/>
    <w:rsid w:val="202F3D4C"/>
    <w:rsid w:val="20E2786E"/>
    <w:rsid w:val="21014C39"/>
    <w:rsid w:val="21045DF0"/>
    <w:rsid w:val="21244EB1"/>
    <w:rsid w:val="213964D8"/>
    <w:rsid w:val="21595D04"/>
    <w:rsid w:val="21835807"/>
    <w:rsid w:val="21F13629"/>
    <w:rsid w:val="2305377E"/>
    <w:rsid w:val="231A76D5"/>
    <w:rsid w:val="23BE460D"/>
    <w:rsid w:val="24122135"/>
    <w:rsid w:val="24D4257E"/>
    <w:rsid w:val="24F5519F"/>
    <w:rsid w:val="2572202B"/>
    <w:rsid w:val="25AE612B"/>
    <w:rsid w:val="25B54731"/>
    <w:rsid w:val="2605683C"/>
    <w:rsid w:val="26661176"/>
    <w:rsid w:val="26BB1419"/>
    <w:rsid w:val="27315D1D"/>
    <w:rsid w:val="27B748AA"/>
    <w:rsid w:val="27CB4CB9"/>
    <w:rsid w:val="27CC4452"/>
    <w:rsid w:val="281C2F58"/>
    <w:rsid w:val="292D5BF2"/>
    <w:rsid w:val="292F6239"/>
    <w:rsid w:val="29642C4B"/>
    <w:rsid w:val="29A66B9A"/>
    <w:rsid w:val="2A34628C"/>
    <w:rsid w:val="2A724D05"/>
    <w:rsid w:val="2A7E505C"/>
    <w:rsid w:val="2AC85686"/>
    <w:rsid w:val="2AD04B5F"/>
    <w:rsid w:val="2B39549B"/>
    <w:rsid w:val="2BC05B2C"/>
    <w:rsid w:val="2BD617C5"/>
    <w:rsid w:val="2C112837"/>
    <w:rsid w:val="2C360608"/>
    <w:rsid w:val="2D3B30E1"/>
    <w:rsid w:val="2E014790"/>
    <w:rsid w:val="2EAE66A3"/>
    <w:rsid w:val="2EE77680"/>
    <w:rsid w:val="2F2F0FC8"/>
    <w:rsid w:val="2F591020"/>
    <w:rsid w:val="2F8E63A4"/>
    <w:rsid w:val="301C6BB6"/>
    <w:rsid w:val="30723652"/>
    <w:rsid w:val="30766FB2"/>
    <w:rsid w:val="319708F2"/>
    <w:rsid w:val="31B14C9E"/>
    <w:rsid w:val="31FE2981"/>
    <w:rsid w:val="33C522D7"/>
    <w:rsid w:val="33F228A5"/>
    <w:rsid w:val="347C19A0"/>
    <w:rsid w:val="34807672"/>
    <w:rsid w:val="35135B80"/>
    <w:rsid w:val="351B1E30"/>
    <w:rsid w:val="358E5935"/>
    <w:rsid w:val="35B06C6A"/>
    <w:rsid w:val="36941AA2"/>
    <w:rsid w:val="36D37423"/>
    <w:rsid w:val="379D23F9"/>
    <w:rsid w:val="37E74183"/>
    <w:rsid w:val="3A185287"/>
    <w:rsid w:val="3A1F46B8"/>
    <w:rsid w:val="3A692CD0"/>
    <w:rsid w:val="3B270929"/>
    <w:rsid w:val="3B3D5571"/>
    <w:rsid w:val="3B5D276F"/>
    <w:rsid w:val="3B673620"/>
    <w:rsid w:val="3B9A1F29"/>
    <w:rsid w:val="3CE4646B"/>
    <w:rsid w:val="3D5E7AA8"/>
    <w:rsid w:val="3D6F2596"/>
    <w:rsid w:val="3F5E503E"/>
    <w:rsid w:val="3FA3488F"/>
    <w:rsid w:val="405F175E"/>
    <w:rsid w:val="40737877"/>
    <w:rsid w:val="40A811A8"/>
    <w:rsid w:val="40C765F3"/>
    <w:rsid w:val="41C755BE"/>
    <w:rsid w:val="42424160"/>
    <w:rsid w:val="42B16B47"/>
    <w:rsid w:val="42F869D2"/>
    <w:rsid w:val="43553536"/>
    <w:rsid w:val="44972678"/>
    <w:rsid w:val="44C465F8"/>
    <w:rsid w:val="451632B9"/>
    <w:rsid w:val="45394C2C"/>
    <w:rsid w:val="45906394"/>
    <w:rsid w:val="45D40A2F"/>
    <w:rsid w:val="45F60A50"/>
    <w:rsid w:val="46142D0C"/>
    <w:rsid w:val="463A5AC1"/>
    <w:rsid w:val="46970A81"/>
    <w:rsid w:val="46B036BF"/>
    <w:rsid w:val="47282363"/>
    <w:rsid w:val="476B3528"/>
    <w:rsid w:val="47C726B0"/>
    <w:rsid w:val="49DC4EAC"/>
    <w:rsid w:val="49E55BC5"/>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B1164D"/>
    <w:rsid w:val="55B4735E"/>
    <w:rsid w:val="55BB221D"/>
    <w:rsid w:val="56371459"/>
    <w:rsid w:val="56484633"/>
    <w:rsid w:val="574B3EB2"/>
    <w:rsid w:val="58D0053D"/>
    <w:rsid w:val="59064002"/>
    <w:rsid w:val="598C40A0"/>
    <w:rsid w:val="59DA647E"/>
    <w:rsid w:val="5A4D0D18"/>
    <w:rsid w:val="5A556E1A"/>
    <w:rsid w:val="5C1166E3"/>
    <w:rsid w:val="5E2864D0"/>
    <w:rsid w:val="5E494511"/>
    <w:rsid w:val="5EB44FC0"/>
    <w:rsid w:val="5EB81F13"/>
    <w:rsid w:val="5EDA64BC"/>
    <w:rsid w:val="5FBA395F"/>
    <w:rsid w:val="60B92183"/>
    <w:rsid w:val="60EC2CBA"/>
    <w:rsid w:val="61661B78"/>
    <w:rsid w:val="61CC2D28"/>
    <w:rsid w:val="62DE3B93"/>
    <w:rsid w:val="630C63B9"/>
    <w:rsid w:val="63454F29"/>
    <w:rsid w:val="635902CD"/>
    <w:rsid w:val="642A3E76"/>
    <w:rsid w:val="645E1DDB"/>
    <w:rsid w:val="64706BBE"/>
    <w:rsid w:val="64F2095B"/>
    <w:rsid w:val="65267327"/>
    <w:rsid w:val="65C60E57"/>
    <w:rsid w:val="65D63F94"/>
    <w:rsid w:val="66036AF7"/>
    <w:rsid w:val="67A858DB"/>
    <w:rsid w:val="67FE4166"/>
    <w:rsid w:val="68AD2162"/>
    <w:rsid w:val="68C401C3"/>
    <w:rsid w:val="69045D7F"/>
    <w:rsid w:val="693027BF"/>
    <w:rsid w:val="6968769B"/>
    <w:rsid w:val="69831B57"/>
    <w:rsid w:val="69A833BD"/>
    <w:rsid w:val="69FB3F8F"/>
    <w:rsid w:val="6A5D78D5"/>
    <w:rsid w:val="6A85354A"/>
    <w:rsid w:val="6C8E0C06"/>
    <w:rsid w:val="6D566F0F"/>
    <w:rsid w:val="6D836F72"/>
    <w:rsid w:val="6DC2026F"/>
    <w:rsid w:val="6DDE3DAF"/>
    <w:rsid w:val="6E281030"/>
    <w:rsid w:val="6E2C7D5B"/>
    <w:rsid w:val="6E3241BE"/>
    <w:rsid w:val="6EB97A9D"/>
    <w:rsid w:val="6EF10A90"/>
    <w:rsid w:val="6FD45BF8"/>
    <w:rsid w:val="6FFF1868"/>
    <w:rsid w:val="70332195"/>
    <w:rsid w:val="715037EE"/>
    <w:rsid w:val="71507435"/>
    <w:rsid w:val="715F4C2D"/>
    <w:rsid w:val="721C3FA1"/>
    <w:rsid w:val="722F78FB"/>
    <w:rsid w:val="723D67C5"/>
    <w:rsid w:val="7250627B"/>
    <w:rsid w:val="72BF60CA"/>
    <w:rsid w:val="72F41282"/>
    <w:rsid w:val="733D0D32"/>
    <w:rsid w:val="73D411F1"/>
    <w:rsid w:val="74165422"/>
    <w:rsid w:val="753811DE"/>
    <w:rsid w:val="7566040A"/>
    <w:rsid w:val="757733D9"/>
    <w:rsid w:val="75A7114C"/>
    <w:rsid w:val="75BE67D4"/>
    <w:rsid w:val="75C2004C"/>
    <w:rsid w:val="75C759C1"/>
    <w:rsid w:val="760F5DAE"/>
    <w:rsid w:val="762D64F3"/>
    <w:rsid w:val="767E7EFF"/>
    <w:rsid w:val="775B4604"/>
    <w:rsid w:val="77C067C3"/>
    <w:rsid w:val="77EA64D7"/>
    <w:rsid w:val="78911E31"/>
    <w:rsid w:val="7922350F"/>
    <w:rsid w:val="792B5470"/>
    <w:rsid w:val="79762E65"/>
    <w:rsid w:val="79C637D8"/>
    <w:rsid w:val="7A9367CB"/>
    <w:rsid w:val="7AA10DE7"/>
    <w:rsid w:val="7AF22571"/>
    <w:rsid w:val="7B69224B"/>
    <w:rsid w:val="7BE80F25"/>
    <w:rsid w:val="7C1C35A7"/>
    <w:rsid w:val="7C45431D"/>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2023-02-17T13:07:23Z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